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г. Иркутск                                                                                                                 «___»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1DB9747A" w:rsidR="00DF096A" w:rsidRPr="00E36D69" w:rsidRDefault="00AF1FF2" w:rsidP="006558C4">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EC7247" w:rsidRPr="00EC7247">
        <w:rPr>
          <w:b/>
          <w:color w:val="000000" w:themeColor="text1"/>
        </w:rPr>
        <w:t>Ремонт арендованных помещений, системы отопления и элементов благоустройства по адресу:  Иркутская обл., г. Иркутск, ул. Байкальская, д. 259</w:t>
      </w:r>
      <w:r w:rsidR="00A65C7C" w:rsidRPr="00CB3190">
        <w:rPr>
          <w:b/>
          <w:color w:val="000000" w:themeColor="text1"/>
        </w:rPr>
        <w:t xml:space="preserve"> </w:t>
      </w:r>
      <w:r w:rsidR="00683086" w:rsidRPr="00CB3190">
        <w:rPr>
          <w:color w:val="000000" w:themeColor="text1"/>
        </w:rPr>
        <w:t>в</w:t>
      </w:r>
      <w:r w:rsidRPr="00CB3190">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1F010227" w14:textId="77777777" w:rsidR="001D3415" w:rsidRDefault="00E36D69" w:rsidP="001D3415">
      <w:pPr>
        <w:pStyle w:val="a3"/>
      </w:pPr>
      <w:r w:rsidRPr="00E36D69">
        <w:rPr>
          <w:color w:val="000000" w:themeColor="text1"/>
        </w:rPr>
        <w:t xml:space="preserve">Арендодатель </w:t>
      </w:r>
      <w:r w:rsidR="00F54F3A" w:rsidRPr="00F54F3A">
        <w:t>ООО «СПМК-7»</w:t>
      </w:r>
      <w:r w:rsidR="00065301">
        <w:t>.</w:t>
      </w:r>
    </w:p>
    <w:p w14:paraId="04BC6079" w14:textId="77777777" w:rsidR="00DF096A" w:rsidRPr="008E3201" w:rsidRDefault="001D3415" w:rsidP="001D3415">
      <w:pPr>
        <w:pStyle w:val="a3"/>
        <w:rPr>
          <w:color w:val="000000" w:themeColor="text1"/>
        </w:rPr>
      </w:pPr>
      <w:r>
        <w:t xml:space="preserve"> </w:t>
      </w: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r w:rsidR="005474A2" w:rsidRPr="008E3201">
        <w:rPr>
          <w:color w:val="000000" w:themeColor="text1"/>
        </w:rPr>
        <w:t>327.СБ.001-2012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В случае нарушения Подрядчиком условий 327.СБ.001-2012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(ов)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357447AB"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4D4981" w:rsidRPr="004D4981">
        <w:rPr>
          <w:color w:val="000000" w:themeColor="text1"/>
        </w:rPr>
        <w:t>75</w:t>
      </w:r>
      <w:r w:rsidR="00FD5FE1">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77777777"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счет, оформл</w:t>
      </w:r>
      <w:r w:rsidR="00817E3C" w:rsidRPr="00817E3C">
        <w:rPr>
          <w:color w:val="000000" w:themeColor="text1"/>
        </w:rPr>
        <w:t>енны</w:t>
      </w:r>
      <w:r w:rsidR="002E710C">
        <w:rPr>
          <w:color w:val="000000" w:themeColor="text1"/>
        </w:rPr>
        <w:t>й</w:t>
      </w:r>
      <w:r w:rsidR="00817E3C" w:rsidRPr="00817E3C">
        <w:rPr>
          <w:color w:val="000000" w:themeColor="text1"/>
        </w:rPr>
        <w:t xml:space="preserve"> в соответствии с действующим законодательством РФ.</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FDBE5" w14:textId="77777777" w:rsidR="00B811EA" w:rsidRDefault="00B811EA" w:rsidP="00F347FB">
      <w:r>
        <w:separator/>
      </w:r>
    </w:p>
  </w:endnote>
  <w:endnote w:type="continuationSeparator" w:id="0">
    <w:p w14:paraId="740A863A" w14:textId="77777777" w:rsidR="00B811EA" w:rsidRDefault="00B811E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795F" w14:textId="77777777" w:rsidR="00B811EA" w:rsidRDefault="00B811EA" w:rsidP="00F347FB">
      <w:r>
        <w:separator/>
      </w:r>
    </w:p>
  </w:footnote>
  <w:footnote w:type="continuationSeparator" w:id="0">
    <w:p w14:paraId="1E9DD427" w14:textId="77777777" w:rsidR="00B811EA" w:rsidRDefault="00B811E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1354"/>
    <w:rsid w:val="00E43425"/>
    <w:rsid w:val="00E44325"/>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2044</TotalTime>
  <Pages>9</Pages>
  <Words>5214</Words>
  <Characters>29722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510</cp:revision>
  <cp:lastPrinted>2025-03-25T06:29:00Z</cp:lastPrinted>
  <dcterms:created xsi:type="dcterms:W3CDTF">2020-05-19T13:05:00Z</dcterms:created>
  <dcterms:modified xsi:type="dcterms:W3CDTF">2025-04-23T08:06:00Z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